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32" w:rsidRDefault="00F11832" w:rsidP="00F11832">
      <w:pPr>
        <w:rPr>
          <w:u w:val="single"/>
        </w:rPr>
      </w:pPr>
      <w:r w:rsidRPr="00F11832">
        <w:rPr>
          <w:u w:val="single"/>
        </w:rPr>
        <w:t>Medical Legal Partnership in School Based Health Centers:</w:t>
      </w:r>
    </w:p>
    <w:p w:rsidR="007B49A0" w:rsidRDefault="007B49A0" w:rsidP="00F11832">
      <w:pPr>
        <w:rPr>
          <w:u w:val="single"/>
        </w:rPr>
      </w:pPr>
    </w:p>
    <w:p w:rsidR="007B49A0" w:rsidRPr="00F11832" w:rsidRDefault="007B49A0" w:rsidP="00F11832">
      <w:pPr>
        <w:rPr>
          <w:u w:val="single"/>
        </w:rPr>
      </w:pPr>
      <w:r>
        <w:rPr>
          <w:rFonts w:eastAsia="Arial" w:cs="Arial"/>
          <w:spacing w:val="-3"/>
        </w:rPr>
        <w:t xml:space="preserve">Since 2013, La Clínica has collaborated with East Bay Community Law Center (EBCLC) to integrate Just Health, a Medical – Legal Partnership that co-locates attorneys and law </w:t>
      </w:r>
      <w:proofErr w:type="gramStart"/>
      <w:r>
        <w:rPr>
          <w:rFonts w:eastAsia="Arial" w:cs="Arial"/>
          <w:spacing w:val="-3"/>
        </w:rPr>
        <w:t>students</w:t>
      </w:r>
      <w:proofErr w:type="gramEnd"/>
      <w:r>
        <w:rPr>
          <w:rFonts w:eastAsia="Arial" w:cs="Arial"/>
          <w:spacing w:val="-3"/>
        </w:rPr>
        <w:t xml:space="preserve"> side-by-side with health care professionals, at four SBHCs: Fremont Tiger Clinic, Havenscourt Health Center, Hawthorne Elementary School Based Clinic,</w:t>
      </w:r>
      <w:r w:rsidR="00B02533">
        <w:rPr>
          <w:rFonts w:eastAsia="Arial" w:cs="Arial"/>
          <w:spacing w:val="-3"/>
        </w:rPr>
        <w:t xml:space="preserve"> and Youth Heart Health Center. </w:t>
      </w:r>
      <w:r>
        <w:rPr>
          <w:rFonts w:eastAsia="Arial" w:cs="Arial"/>
          <w:spacing w:val="-3"/>
        </w:rPr>
        <w:t>Attorneys offer seamless access to legal services under one roof by accepting referrals from SBHC and school staff for its twice monthly onsite free legal clinics.</w:t>
      </w:r>
    </w:p>
    <w:p w:rsidR="00F11832" w:rsidRPr="00F11832" w:rsidRDefault="00F11832" w:rsidP="00F11832">
      <w:pPr>
        <w:rPr>
          <w:sz w:val="12"/>
          <w:szCs w:val="12"/>
        </w:rPr>
      </w:pPr>
    </w:p>
    <w:p w:rsidR="007256FC" w:rsidRDefault="00F11832" w:rsidP="00F11832">
      <w:r w:rsidRPr="00F11832">
        <w:t xml:space="preserve">Since launching immigration legal services in the </w:t>
      </w:r>
      <w:proofErr w:type="gramStart"/>
      <w:r w:rsidRPr="00F11832">
        <w:t>Fall</w:t>
      </w:r>
      <w:proofErr w:type="gramEnd"/>
      <w:r w:rsidRPr="00F11832">
        <w:t xml:space="preserve"> of 2015, our immigration fellow from </w:t>
      </w:r>
      <w:r w:rsidR="007B49A0">
        <w:t>EBCLC,</w:t>
      </w:r>
      <w:r w:rsidRPr="00F11832">
        <w:t xml:space="preserve"> Mindy Phillips</w:t>
      </w:r>
      <w:r w:rsidR="007B49A0">
        <w:t>,</w:t>
      </w:r>
      <w:r w:rsidR="007256FC">
        <w:t xml:space="preserve"> has received 414 referrals. </w:t>
      </w:r>
      <w:r w:rsidR="007256FC">
        <w:t>Youth with unmet legal needs may be identified and referred through several methods. Students can self-refer</w:t>
      </w:r>
      <w:r w:rsidR="007256FC" w:rsidRPr="007256FC">
        <w:t xml:space="preserve"> </w:t>
      </w:r>
      <w:r w:rsidR="007256FC" w:rsidRPr="00F11832">
        <w:t>after hearing a presentat</w:t>
      </w:r>
      <w:r w:rsidR="007256FC">
        <w:t>ion from EBCLC or seeing flyers distributed in the school</w:t>
      </w:r>
      <w:r w:rsidR="007256FC">
        <w:t xml:space="preserve">, </w:t>
      </w:r>
      <w:r w:rsidR="007256FC">
        <w:t>or be referred by peers, teachers,</w:t>
      </w:r>
      <w:r w:rsidR="007256FC">
        <w:t xml:space="preserve"> administrators, support staff, </w:t>
      </w:r>
      <w:r w:rsidR="007256FC">
        <w:t xml:space="preserve">and medical </w:t>
      </w:r>
      <w:r w:rsidR="007256FC">
        <w:t xml:space="preserve">or behavioral health </w:t>
      </w:r>
      <w:r w:rsidR="007256FC">
        <w:t>providers.</w:t>
      </w:r>
    </w:p>
    <w:p w:rsidR="00F11832" w:rsidRPr="00F11832" w:rsidRDefault="00F11832" w:rsidP="00F11832">
      <w:pPr>
        <w:rPr>
          <w:sz w:val="12"/>
          <w:szCs w:val="12"/>
        </w:rPr>
      </w:pPr>
    </w:p>
    <w:p w:rsidR="00F11832" w:rsidRPr="00F11832" w:rsidRDefault="00F11832" w:rsidP="00F11832">
      <w:r w:rsidRPr="00F11832">
        <w:t>Mindy has conducted 319 general consultations (1-2 hour meetings with the patient</w:t>
      </w:r>
      <w:r w:rsidR="007B49A0">
        <w:t>,</w:t>
      </w:r>
      <w:r w:rsidRPr="00F11832">
        <w:t xml:space="preserve"> in which she provides legal advice and referrals) and has taken on 98 cases ranging from work permits to U</w:t>
      </w:r>
      <w:bookmarkStart w:id="0" w:name="_GoBack"/>
      <w:bookmarkEnd w:id="0"/>
      <w:r w:rsidRPr="00F11832">
        <w:t>.S. citi</w:t>
      </w:r>
      <w:r w:rsidR="007B49A0">
        <w:t xml:space="preserve">zenship. </w:t>
      </w:r>
      <w:r w:rsidRPr="00F11832">
        <w:t>Of those, DACA, U-Visa and Asylum are the most frequent types of cases.  While many cases are still pending (they can take up to 6 years for a final decision), her</w:t>
      </w:r>
      <w:r w:rsidR="007B49A0">
        <w:t xml:space="preserve"> current success rate is 100% (please refer to table below). </w:t>
      </w:r>
    </w:p>
    <w:p w:rsidR="00F11832" w:rsidRPr="00F11832" w:rsidRDefault="00F11832" w:rsidP="00F11832">
      <w:pPr>
        <w:rPr>
          <w:sz w:val="12"/>
          <w:szCs w:val="12"/>
        </w:rPr>
      </w:pPr>
    </w:p>
    <w:p w:rsidR="00F11832" w:rsidRPr="00F11832" w:rsidRDefault="00F11832" w:rsidP="00F11832">
      <w:r w:rsidRPr="00F11832">
        <w:t xml:space="preserve">Mindy works in </w:t>
      </w:r>
      <w:r w:rsidR="007B49A0">
        <w:t xml:space="preserve">four </w:t>
      </w:r>
      <w:r w:rsidRPr="00F11832">
        <w:t xml:space="preserve">of our SBHCs </w:t>
      </w:r>
      <w:r w:rsidR="007256FC">
        <w:t>for a total of 24 hours/month. </w:t>
      </w:r>
      <w:r w:rsidRPr="00F11832">
        <w:t>The fellowship that sustains he</w:t>
      </w:r>
      <w:r w:rsidR="007B49A0">
        <w:t>r work ends in September 2017. </w:t>
      </w:r>
      <w:r w:rsidR="007B49A0">
        <w:rPr>
          <w:rFonts w:eastAsia="Arial" w:cs="Arial"/>
          <w:spacing w:val="-3"/>
        </w:rPr>
        <w:t xml:space="preserve">La Clínica </w:t>
      </w:r>
      <w:r w:rsidRPr="00F11832">
        <w:t>&amp; EBCLC need $1</w:t>
      </w:r>
      <w:r w:rsidR="007B49A0">
        <w:t>50</w:t>
      </w:r>
      <w:r w:rsidRPr="00F11832">
        <w:t xml:space="preserve">,000 to continue these essential services for the 17-18 school </w:t>
      </w:r>
      <w:proofErr w:type="gramStart"/>
      <w:r w:rsidR="007B49A0">
        <w:t>year</w:t>
      </w:r>
      <w:proofErr w:type="gramEnd"/>
      <w:r w:rsidR="007B49A0">
        <w:t xml:space="preserve">. </w:t>
      </w:r>
    </w:p>
    <w:p w:rsidR="00F11832" w:rsidRPr="00F11832" w:rsidRDefault="00F11832" w:rsidP="00F11832">
      <w:pPr>
        <w:rPr>
          <w:sz w:val="12"/>
          <w:szCs w:val="12"/>
        </w:rPr>
      </w:pPr>
    </w:p>
    <w:p w:rsidR="00F11832" w:rsidRPr="00F11832" w:rsidRDefault="007B49A0" w:rsidP="00F11832">
      <w:r>
        <w:t>Please see an article detailing</w:t>
      </w:r>
      <w:r w:rsidR="00F11832" w:rsidRPr="00F11832">
        <w:t xml:space="preserve"> Mindy’s </w:t>
      </w:r>
      <w:r>
        <w:t>work with the SBHCs here</w:t>
      </w:r>
      <w:r w:rsidR="00F11832" w:rsidRPr="00F11832">
        <w:t xml:space="preserve">: </w:t>
      </w:r>
      <w:hyperlink r:id="rId5" w:history="1">
        <w:r w:rsidR="00B02533">
          <w:rPr>
            <w:rStyle w:val="Hyperlink"/>
          </w:rPr>
          <w:t>Emerson Collective Article Highlighting MLP</w:t>
        </w:r>
      </w:hyperlink>
      <w:r w:rsidR="00F11832" w:rsidRPr="00F11832">
        <w:t xml:space="preserve"> </w:t>
      </w:r>
    </w:p>
    <w:p w:rsidR="00F11832" w:rsidRPr="00F11832" w:rsidRDefault="00F11832" w:rsidP="00F11832">
      <w:pPr>
        <w:rPr>
          <w:sz w:val="12"/>
          <w:szCs w:val="12"/>
        </w:rPr>
      </w:pPr>
    </w:p>
    <w:tbl>
      <w:tblPr>
        <w:tblW w:w="8711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1060"/>
        <w:gridCol w:w="1180"/>
        <w:gridCol w:w="1180"/>
        <w:gridCol w:w="1120"/>
        <w:gridCol w:w="1340"/>
      </w:tblGrid>
      <w:tr w:rsidR="00F11832" w:rsidTr="00F11832">
        <w:trPr>
          <w:trHeight w:val="315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F11832">
              <w:rPr>
                <w:rFonts w:ascii="Calibri Light" w:hAnsi="Calibri Light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F11832">
              <w:rPr>
                <w:rFonts w:ascii="Calibri Light" w:hAnsi="Calibri Light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F11832">
              <w:rPr>
                <w:rFonts w:ascii="Calibri Light" w:hAnsi="Calibri Light"/>
                <w:b/>
                <w:bCs/>
                <w:sz w:val="20"/>
                <w:szCs w:val="20"/>
              </w:rPr>
              <w:t>Filed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F11832">
              <w:rPr>
                <w:rFonts w:ascii="Calibri Light" w:hAnsi="Calibri Light"/>
                <w:b/>
                <w:bCs/>
                <w:sz w:val="20"/>
                <w:szCs w:val="20"/>
              </w:rPr>
              <w:t>Successful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F11832">
              <w:rPr>
                <w:rFonts w:ascii="Calibri Light" w:hAnsi="Calibri Light"/>
                <w:b/>
                <w:bCs/>
                <w:sz w:val="20"/>
                <w:szCs w:val="20"/>
              </w:rPr>
              <w:t>Pending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F11832">
              <w:rPr>
                <w:rFonts w:ascii="Calibri Light" w:hAnsi="Calibri Light"/>
                <w:b/>
                <w:bCs/>
                <w:sz w:val="20"/>
                <w:szCs w:val="20"/>
              </w:rPr>
              <w:t>Success Rate</w:t>
            </w:r>
          </w:p>
        </w:tc>
      </w:tr>
      <w:tr w:rsidR="00F11832" w:rsidTr="00F11832">
        <w:trPr>
          <w:trHeight w:val="315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F11832">
              <w:rPr>
                <w:rFonts w:ascii="Calibri Light" w:hAnsi="Calibri Light"/>
                <w:b/>
                <w:bCs/>
                <w:sz w:val="20"/>
                <w:szCs w:val="20"/>
              </w:rPr>
              <w:t>Asylum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all pending</w:t>
            </w:r>
          </w:p>
        </w:tc>
      </w:tr>
      <w:tr w:rsidR="00F11832" w:rsidTr="00F11832">
        <w:trPr>
          <w:trHeight w:val="315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F11832">
              <w:rPr>
                <w:rFonts w:ascii="Calibri Light" w:hAnsi="Calibri Light"/>
                <w:b/>
                <w:bCs/>
                <w:sz w:val="20"/>
                <w:szCs w:val="20"/>
              </w:rPr>
              <w:t>DACA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100%</w:t>
            </w:r>
          </w:p>
        </w:tc>
      </w:tr>
      <w:tr w:rsidR="00F11832" w:rsidTr="00F11832">
        <w:trPr>
          <w:trHeight w:val="315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F11832">
              <w:rPr>
                <w:rFonts w:ascii="Calibri Light" w:hAnsi="Calibri Light"/>
                <w:b/>
                <w:bCs/>
                <w:sz w:val="20"/>
                <w:szCs w:val="20"/>
              </w:rPr>
              <w:t>Work permit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100%</w:t>
            </w:r>
          </w:p>
        </w:tc>
      </w:tr>
      <w:tr w:rsidR="00F11832" w:rsidTr="00F11832">
        <w:trPr>
          <w:trHeight w:val="315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F11832">
              <w:rPr>
                <w:rFonts w:ascii="Calibri Light" w:hAnsi="Calibri Light"/>
                <w:b/>
                <w:bCs/>
                <w:sz w:val="20"/>
                <w:szCs w:val="20"/>
              </w:rPr>
              <w:t>Green card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100%</w:t>
            </w:r>
          </w:p>
        </w:tc>
      </w:tr>
      <w:tr w:rsidR="00F11832" w:rsidTr="00F11832">
        <w:trPr>
          <w:trHeight w:val="315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F11832">
              <w:rPr>
                <w:rFonts w:ascii="Calibri Light" w:hAnsi="Calibri Light"/>
                <w:b/>
                <w:bCs/>
                <w:sz w:val="20"/>
                <w:szCs w:val="20"/>
              </w:rPr>
              <w:t>U-visa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all pending</w:t>
            </w:r>
          </w:p>
        </w:tc>
      </w:tr>
      <w:tr w:rsidR="00F11832" w:rsidTr="00F11832">
        <w:trPr>
          <w:trHeight w:val="315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F11832">
              <w:rPr>
                <w:rFonts w:ascii="Calibri Light" w:hAnsi="Calibri Light"/>
                <w:b/>
                <w:bCs/>
                <w:sz w:val="20"/>
                <w:szCs w:val="20"/>
              </w:rPr>
              <w:t>Citizenship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100%</w:t>
            </w:r>
          </w:p>
        </w:tc>
      </w:tr>
      <w:tr w:rsidR="00F11832" w:rsidTr="00F11832">
        <w:trPr>
          <w:trHeight w:val="358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F11832">
              <w:rPr>
                <w:rFonts w:ascii="Calibri Light" w:hAnsi="Calibri Light"/>
                <w:b/>
                <w:bCs/>
                <w:sz w:val="20"/>
                <w:szCs w:val="20"/>
              </w:rPr>
              <w:t>Advance Parole (travel abroad)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100%</w:t>
            </w:r>
          </w:p>
        </w:tc>
      </w:tr>
      <w:tr w:rsidR="00F11832" w:rsidTr="00F11832">
        <w:trPr>
          <w:trHeight w:val="349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F11832">
              <w:rPr>
                <w:rFonts w:ascii="Calibri Light" w:hAnsi="Calibri Light"/>
                <w:b/>
                <w:bCs/>
                <w:sz w:val="20"/>
                <w:szCs w:val="20"/>
              </w:rPr>
              <w:t>Special Immigrant Juvenile Status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100%</w:t>
            </w:r>
          </w:p>
        </w:tc>
      </w:tr>
      <w:tr w:rsidR="00F11832" w:rsidTr="00F11832">
        <w:trPr>
          <w:trHeight w:val="315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F11832">
              <w:rPr>
                <w:rFonts w:ascii="Calibri Light" w:hAnsi="Calibri Light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 all pending</w:t>
            </w:r>
          </w:p>
        </w:tc>
      </w:tr>
      <w:tr w:rsidR="00F11832" w:rsidTr="00F11832">
        <w:trPr>
          <w:trHeight w:val="315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F11832">
              <w:rPr>
                <w:rFonts w:ascii="Calibri Light" w:hAnsi="Calibri Light"/>
                <w:b/>
                <w:bCs/>
                <w:sz w:val="20"/>
                <w:szCs w:val="20"/>
              </w:rPr>
              <w:t>Total Cases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832" w:rsidRPr="00F11832" w:rsidRDefault="00F11832">
            <w:pPr>
              <w:rPr>
                <w:rFonts w:ascii="Calibri Light" w:hAnsi="Calibri Light"/>
                <w:sz w:val="20"/>
                <w:szCs w:val="20"/>
              </w:rPr>
            </w:pPr>
            <w:r w:rsidRPr="00F11832">
              <w:rPr>
                <w:rFonts w:ascii="Calibri Light" w:hAnsi="Calibri Light"/>
                <w:sz w:val="20"/>
                <w:szCs w:val="20"/>
              </w:rPr>
              <w:t>100%</w:t>
            </w:r>
          </w:p>
        </w:tc>
      </w:tr>
    </w:tbl>
    <w:p w:rsidR="00F11832" w:rsidRDefault="00B02533" w:rsidP="00F11832">
      <w:r>
        <w:rPr>
          <w:noProof/>
        </w:rPr>
        <w:drawing>
          <wp:anchor distT="0" distB="0" distL="114300" distR="114300" simplePos="0" relativeHeight="251659264" behindDoc="1" locked="0" layoutInCell="1" allowOverlap="1" wp14:anchorId="0C83E90C" wp14:editId="3B90182C">
            <wp:simplePos x="0" y="0"/>
            <wp:positionH relativeFrom="column">
              <wp:posOffset>1673225</wp:posOffset>
            </wp:positionH>
            <wp:positionV relativeFrom="paragraph">
              <wp:posOffset>137795</wp:posOffset>
            </wp:positionV>
            <wp:extent cx="2416810" cy="2531110"/>
            <wp:effectExtent l="0" t="0" r="2540" b="2540"/>
            <wp:wrapTight wrapText="bothSides">
              <wp:wrapPolygon edited="0">
                <wp:start x="0" y="0"/>
                <wp:lineTo x="0" y="21459"/>
                <wp:lineTo x="21452" y="21459"/>
                <wp:lineTo x="21452" y="0"/>
                <wp:lineTo x="0" y="0"/>
              </wp:wrapPolygon>
            </wp:wrapTight>
            <wp:docPr id="2" name="Picture 2" descr="C:\Users\aranger\AppData\Local\Microsoft\Windows\Temporary Internet Files\Content.Outlook\RKTBXTXE\Screen Shot 2017-03-06 at 7.05.12 PM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anger\AppData\Local\Microsoft\Windows\Temporary Internet Files\Content.Outlook\RKTBXTXE\Screen Shot 2017-03-06 at 7.05.12 PM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"/>
                    <a:stretch/>
                  </pic:blipFill>
                  <pic:spPr bwMode="auto">
                    <a:xfrm>
                      <a:off x="0" y="0"/>
                      <a:ext cx="2416810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181" w:rsidRDefault="001B2181" w:rsidP="00F11832">
      <w:pPr>
        <w:jc w:val="center"/>
      </w:pPr>
    </w:p>
    <w:sectPr w:rsidR="001B2181" w:rsidSect="00F11832"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32"/>
    <w:rsid w:val="001B2181"/>
    <w:rsid w:val="007256FC"/>
    <w:rsid w:val="007B49A0"/>
    <w:rsid w:val="00B02533"/>
    <w:rsid w:val="00F1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3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18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3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18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emersoncollective.com/articles/2017/2/28/from-lawyer-to-guiding-light-serving-immigrant-families-under-tru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Ranger</dc:creator>
  <cp:lastModifiedBy>Natalie DiRocco</cp:lastModifiedBy>
  <cp:revision>3</cp:revision>
  <dcterms:created xsi:type="dcterms:W3CDTF">2017-04-19T20:35:00Z</dcterms:created>
  <dcterms:modified xsi:type="dcterms:W3CDTF">2017-04-19T20:41:00Z</dcterms:modified>
</cp:coreProperties>
</file>