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31AF4C1" w:rsidR="001C1289" w:rsidRDefault="00000000">
      <w:pPr>
        <w:rPr>
          <w:b/>
          <w:sz w:val="30"/>
          <w:szCs w:val="30"/>
        </w:rPr>
      </w:pPr>
      <w:r>
        <w:rPr>
          <w:b/>
          <w:sz w:val="30"/>
          <w:szCs w:val="30"/>
        </w:rPr>
        <w:t>Appendix C</w:t>
      </w:r>
      <w:r w:rsidR="00DB302A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:</w:t>
      </w:r>
    </w:p>
    <w:p w14:paraId="00000002" w14:textId="0DFCC935" w:rsidR="001C1289" w:rsidRDefault="00000000">
      <w:pPr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Job Description: </w:t>
      </w:r>
      <w:r w:rsidR="00DB302A">
        <w:rPr>
          <w:b/>
          <w:sz w:val="30"/>
          <w:szCs w:val="30"/>
        </w:rPr>
        <w:t>Health Education Specialist</w:t>
      </w:r>
    </w:p>
    <w:p w14:paraId="00000003" w14:textId="23AC593E" w:rsidR="001C1289" w:rsidRDefault="00DB302A" w:rsidP="00DB302A">
      <w:pPr>
        <w:rPr>
          <w:b/>
          <w:color w:val="000000"/>
          <w:sz w:val="20"/>
          <w:szCs w:val="20"/>
        </w:rPr>
      </w:pPr>
      <w:r w:rsidRPr="00DB302A">
        <w:rPr>
          <w:b/>
          <w:color w:val="000000"/>
          <w:sz w:val="20"/>
          <w:szCs w:val="20"/>
        </w:rPr>
        <w:t>Under direction, assists with implementation of educational and health promotion activities for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>the department; assumes responsibility for educational aspects of assigned department programs;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>and performs related work as required.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 xml:space="preserve">Incumbents are assigned health </w:t>
      </w:r>
      <w:proofErr w:type="gramStart"/>
      <w:r w:rsidRPr="00DB302A">
        <w:rPr>
          <w:b/>
          <w:color w:val="000000"/>
          <w:sz w:val="20"/>
          <w:szCs w:val="20"/>
        </w:rPr>
        <w:t>education oriented</w:t>
      </w:r>
      <w:proofErr w:type="gramEnd"/>
      <w:r w:rsidRPr="00DB302A">
        <w:rPr>
          <w:b/>
          <w:color w:val="000000"/>
          <w:sz w:val="20"/>
          <w:szCs w:val="20"/>
        </w:rPr>
        <w:t xml:space="preserve"> responsibilities for selected programs under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>direction of the Public Health Program Specialist, Program Manager or Program Director.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 xml:space="preserve">Positions may </w:t>
      </w:r>
      <w:proofErr w:type="gramStart"/>
      <w:r w:rsidRPr="00DB302A">
        <w:rPr>
          <w:b/>
          <w:color w:val="000000"/>
          <w:sz w:val="20"/>
          <w:szCs w:val="20"/>
        </w:rPr>
        <w:t>be located in</w:t>
      </w:r>
      <w:proofErr w:type="gramEnd"/>
      <w:r w:rsidRPr="00DB302A">
        <w:rPr>
          <w:b/>
          <w:color w:val="000000"/>
          <w:sz w:val="20"/>
          <w:szCs w:val="20"/>
        </w:rPr>
        <w:t xml:space="preserve"> any of the major operating divisions of the Health Services</w:t>
      </w:r>
      <w:r>
        <w:rPr>
          <w:b/>
          <w:color w:val="000000"/>
          <w:sz w:val="20"/>
          <w:szCs w:val="20"/>
        </w:rPr>
        <w:t xml:space="preserve"> </w:t>
      </w:r>
      <w:r w:rsidRPr="00DB302A">
        <w:rPr>
          <w:b/>
          <w:color w:val="000000"/>
          <w:sz w:val="20"/>
          <w:szCs w:val="20"/>
        </w:rPr>
        <w:t>Department.</w:t>
      </w:r>
    </w:p>
    <w:p w14:paraId="25E868BB" w14:textId="77777777" w:rsidR="00E34AA3" w:rsidRDefault="00E34AA3" w:rsidP="00DB302A">
      <w:pPr>
        <w:rPr>
          <w:b/>
          <w:color w:val="000000"/>
          <w:sz w:val="20"/>
          <w:szCs w:val="20"/>
        </w:rPr>
      </w:pPr>
    </w:p>
    <w:p w14:paraId="00000004" w14:textId="77777777" w:rsidR="001C1289" w:rsidRDefault="00000000">
      <w:pPr>
        <w:rPr>
          <w:b/>
          <w:u w:val="single"/>
        </w:rPr>
      </w:pPr>
      <w:r>
        <w:rPr>
          <w:b/>
          <w:u w:val="single"/>
        </w:rPr>
        <w:t xml:space="preserve">Major Areas of Responsibility:  </w:t>
      </w:r>
    </w:p>
    <w:p w14:paraId="00000005" w14:textId="2609AF0B" w:rsidR="001C1289" w:rsidRDefault="005512E2">
      <w:pPr>
        <w:rPr>
          <w:b/>
          <w:sz w:val="20"/>
          <w:szCs w:val="20"/>
        </w:rPr>
      </w:pPr>
      <w:r>
        <w:rPr>
          <w:b/>
          <w:sz w:val="20"/>
          <w:szCs w:val="20"/>
        </w:rPr>
        <w:t>Typical Tasks</w:t>
      </w:r>
    </w:p>
    <w:p w14:paraId="766A7C67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Assists administrators and supervisors in planning, conducting and evaluating the health education and health prevention aspects of departmental programs</w:t>
      </w:r>
    </w:p>
    <w:p w14:paraId="6E336058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 xml:space="preserve">Carries out a specific phase of the program under supervision as assigned </w:t>
      </w:r>
    </w:p>
    <w:p w14:paraId="6E336058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 xml:space="preserve">Confers with and advises staff on health education and preventive principles and the techniques of community </w:t>
      </w:r>
      <w:proofErr w:type="gramStart"/>
      <w:r w:rsidRPr="005512E2">
        <w:rPr>
          <w:sz w:val="20"/>
          <w:szCs w:val="20"/>
        </w:rPr>
        <w:t>organization;</w:t>
      </w:r>
      <w:proofErr w:type="gramEnd"/>
    </w:p>
    <w:p w14:paraId="44040395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Assists in encouraging interest and activity in the promotion of public and environmental health</w:t>
      </w:r>
    </w:p>
    <w:p w14:paraId="690A4F75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Reviews publications for educational suitability</w:t>
      </w:r>
    </w:p>
    <w:p w14:paraId="4B971DA9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Maintains and distributes health education material to the staff and the general public, as appropriate</w:t>
      </w:r>
    </w:p>
    <w:p w14:paraId="7F59B448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Prepares visual aids and display materials</w:t>
      </w:r>
    </w:p>
    <w:p w14:paraId="2F6630D5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Assists with the assessment of community health needs</w:t>
      </w:r>
    </w:p>
    <w:p w14:paraId="7E6C2CD3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Organizes and arranges for discussion groups on health problems</w:t>
      </w:r>
    </w:p>
    <w:p w14:paraId="17008581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Publicizes health programs and services through various media</w:t>
      </w:r>
    </w:p>
    <w:p w14:paraId="0A0E5A3E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Evaluates and reports on health education services and educational programs</w:t>
      </w:r>
    </w:p>
    <w:p w14:paraId="63A8AEB9" w14:textId="77777777" w:rsidR="005512E2" w:rsidRPr="005512E2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Assists in directing and coordination relevant training activities as needed in the Department</w:t>
      </w:r>
    </w:p>
    <w:p w14:paraId="00000007" w14:textId="5943E3DF" w:rsidR="001C1289" w:rsidRDefault="005512E2" w:rsidP="005512E2">
      <w:pPr>
        <w:widowControl w:val="0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5512E2">
        <w:rPr>
          <w:sz w:val="20"/>
          <w:szCs w:val="20"/>
        </w:rPr>
        <w:t>Provides and promotes excellent customer service for all internal and external customers</w:t>
      </w:r>
      <w:r w:rsidR="00000000">
        <w:rPr>
          <w:sz w:val="20"/>
          <w:szCs w:val="20"/>
        </w:rPr>
        <w:t xml:space="preserve">. </w:t>
      </w:r>
    </w:p>
    <w:p w14:paraId="00000008" w14:textId="77777777" w:rsidR="001C1289" w:rsidRDefault="001C1289">
      <w:pPr>
        <w:widowControl w:val="0"/>
        <w:spacing w:after="0" w:line="240" w:lineRule="auto"/>
        <w:rPr>
          <w:sz w:val="20"/>
          <w:szCs w:val="20"/>
        </w:rPr>
      </w:pPr>
    </w:p>
    <w:p w14:paraId="0000001A" w14:textId="77777777" w:rsidR="001C1289" w:rsidRDefault="001C1289">
      <w:pPr>
        <w:tabs>
          <w:tab w:val="left" w:pos="2966"/>
          <w:tab w:val="left" w:pos="3836"/>
        </w:tabs>
        <w:rPr>
          <w:b/>
          <w:color w:val="366091"/>
          <w:sz w:val="20"/>
          <w:szCs w:val="20"/>
          <w:u w:val="single"/>
        </w:rPr>
      </w:pPr>
    </w:p>
    <w:p w14:paraId="0000001B" w14:textId="77777777" w:rsidR="001C1289" w:rsidRDefault="00000000">
      <w:pPr>
        <w:tabs>
          <w:tab w:val="left" w:pos="2966"/>
          <w:tab w:val="left" w:pos="3836"/>
        </w:tabs>
        <w:rPr>
          <w:b/>
          <w:color w:val="000000"/>
          <w:sz w:val="20"/>
          <w:szCs w:val="20"/>
        </w:rPr>
      </w:pPr>
      <w:r>
        <w:rPr>
          <w:b/>
          <w:u w:val="single"/>
        </w:rPr>
        <w:t>Minimum Job Requirements</w:t>
      </w:r>
    </w:p>
    <w:p w14:paraId="0000001C" w14:textId="77777777" w:rsidR="001C1289" w:rsidRDefault="00000000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Knowledge </w:t>
      </w:r>
    </w:p>
    <w:p w14:paraId="2595B175" w14:textId="3DC4F070" w:rsidR="00DB302A" w:rsidRPr="00DB302A" w:rsidRDefault="00DB302A" w:rsidP="00DB3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B302A">
        <w:rPr>
          <w:color w:val="000000"/>
          <w:sz w:val="20"/>
          <w:szCs w:val="20"/>
        </w:rPr>
        <w:t>Principles, theories, techniques and practices of public and community health education,</w:t>
      </w:r>
      <w:r w:rsidRPr="00DB302A">
        <w:rPr>
          <w:color w:val="000000"/>
          <w:sz w:val="20"/>
          <w:szCs w:val="20"/>
        </w:rPr>
        <w:t xml:space="preserve"> </w:t>
      </w:r>
      <w:r w:rsidRPr="00DB302A">
        <w:rPr>
          <w:color w:val="000000"/>
          <w:sz w:val="20"/>
          <w:szCs w:val="20"/>
        </w:rPr>
        <w:t>including the relationships of cultural patterns to human behavior</w:t>
      </w:r>
    </w:p>
    <w:p w14:paraId="0A3E3EAB" w14:textId="36731F89" w:rsidR="00DB302A" w:rsidRPr="00DB302A" w:rsidRDefault="00DB302A" w:rsidP="00DB3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B302A">
        <w:rPr>
          <w:color w:val="000000"/>
          <w:sz w:val="20"/>
          <w:szCs w:val="20"/>
        </w:rPr>
        <w:t>The ability to apply this knowledge to the process of education and motivation with</w:t>
      </w:r>
      <w:r>
        <w:rPr>
          <w:color w:val="000000"/>
          <w:sz w:val="20"/>
          <w:szCs w:val="20"/>
        </w:rPr>
        <w:t xml:space="preserve"> </w:t>
      </w:r>
      <w:r w:rsidRPr="00DB302A">
        <w:rPr>
          <w:color w:val="000000"/>
          <w:sz w:val="20"/>
          <w:szCs w:val="20"/>
        </w:rPr>
        <w:t>individuals and groups</w:t>
      </w:r>
    </w:p>
    <w:p w14:paraId="676E669E" w14:textId="32894690" w:rsidR="00DB302A" w:rsidRPr="00DB302A" w:rsidRDefault="00DB302A" w:rsidP="00DB3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B302A">
        <w:rPr>
          <w:color w:val="000000"/>
          <w:sz w:val="20"/>
          <w:szCs w:val="20"/>
        </w:rPr>
        <w:t>The structure of government, of public health procedures, and of methods and</w:t>
      </w:r>
      <w:r w:rsidRPr="00DB302A">
        <w:rPr>
          <w:color w:val="000000"/>
          <w:sz w:val="20"/>
          <w:szCs w:val="20"/>
        </w:rPr>
        <w:t xml:space="preserve"> </w:t>
      </w:r>
      <w:r w:rsidRPr="00DB302A">
        <w:rPr>
          <w:color w:val="000000"/>
          <w:sz w:val="20"/>
          <w:szCs w:val="20"/>
        </w:rPr>
        <w:t>effectiveness of various mass communication media</w:t>
      </w:r>
    </w:p>
    <w:p w14:paraId="00000022" w14:textId="714F6B5D" w:rsidR="001C1289" w:rsidRPr="00DB302A" w:rsidRDefault="00DB302A" w:rsidP="00DB30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DB302A">
        <w:rPr>
          <w:color w:val="000000"/>
          <w:sz w:val="20"/>
          <w:szCs w:val="20"/>
        </w:rPr>
        <w:t>Public health and related functions of official and voluntary organizations on the federal,</w:t>
      </w:r>
      <w:r w:rsidRPr="00DB302A">
        <w:rPr>
          <w:color w:val="000000"/>
          <w:sz w:val="20"/>
          <w:szCs w:val="20"/>
        </w:rPr>
        <w:t xml:space="preserve"> </w:t>
      </w:r>
      <w:r w:rsidRPr="00DB302A">
        <w:rPr>
          <w:color w:val="000000"/>
          <w:sz w:val="20"/>
          <w:szCs w:val="20"/>
        </w:rPr>
        <w:t>state and local levels</w:t>
      </w:r>
    </w:p>
    <w:p w14:paraId="00000023" w14:textId="77777777" w:rsidR="001C1289" w:rsidRDefault="001C1289">
      <w:pPr>
        <w:rPr>
          <w:b/>
          <w:color w:val="000000"/>
          <w:sz w:val="20"/>
          <w:szCs w:val="20"/>
        </w:rPr>
      </w:pPr>
    </w:p>
    <w:p w14:paraId="00000024" w14:textId="77777777" w:rsidR="001C1289" w:rsidRDefault="000000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Abilities</w:t>
      </w:r>
    </w:p>
    <w:p w14:paraId="4F0C8C2F" w14:textId="45CC51DA" w:rsidR="001B5993" w:rsidRPr="001B5993" w:rsidRDefault="001B5993" w:rsidP="001B5993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1B5993">
        <w:rPr>
          <w:color w:val="000000"/>
          <w:sz w:val="20"/>
          <w:szCs w:val="20"/>
        </w:rPr>
        <w:t>Provide and promote excellence in customer service for both internal and external</w:t>
      </w:r>
      <w:r w:rsidRPr="001B5993">
        <w:rPr>
          <w:color w:val="000000"/>
          <w:sz w:val="20"/>
          <w:szCs w:val="20"/>
        </w:rPr>
        <w:t xml:space="preserve"> </w:t>
      </w:r>
      <w:r w:rsidRPr="001B5993">
        <w:rPr>
          <w:color w:val="000000"/>
          <w:sz w:val="20"/>
          <w:szCs w:val="20"/>
        </w:rPr>
        <w:t>customers</w:t>
      </w:r>
    </w:p>
    <w:p w14:paraId="30B93D2D" w14:textId="34EAE466" w:rsidR="001B5993" w:rsidRPr="001B5993" w:rsidRDefault="001B5993" w:rsidP="001B5993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1B5993">
        <w:rPr>
          <w:color w:val="000000"/>
          <w:sz w:val="20"/>
          <w:szCs w:val="20"/>
        </w:rPr>
        <w:lastRenderedPageBreak/>
        <w:t>Acknowledge and respect cultural and linguistic differences of the County's diverse</w:t>
      </w:r>
      <w:r w:rsidRPr="001B5993">
        <w:rPr>
          <w:color w:val="000000"/>
          <w:sz w:val="20"/>
          <w:szCs w:val="20"/>
        </w:rPr>
        <w:t xml:space="preserve"> </w:t>
      </w:r>
      <w:r w:rsidRPr="001B5993">
        <w:rPr>
          <w:color w:val="000000"/>
          <w:sz w:val="20"/>
          <w:szCs w:val="20"/>
        </w:rPr>
        <w:t>population</w:t>
      </w:r>
    </w:p>
    <w:p w14:paraId="4D6CBAE4" w14:textId="77777777" w:rsidR="001B5993" w:rsidRPr="001B5993" w:rsidRDefault="001B5993" w:rsidP="001B5993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1B5993">
        <w:rPr>
          <w:color w:val="000000"/>
          <w:sz w:val="20"/>
          <w:szCs w:val="20"/>
        </w:rPr>
        <w:t>Communicate effectively in English, both verbally and in writing.</w:t>
      </w:r>
    </w:p>
    <w:p w14:paraId="5F4AAAF9" w14:textId="77777777" w:rsidR="001B5993" w:rsidRPr="001B5993" w:rsidRDefault="001B5993" w:rsidP="001B5993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1B5993">
        <w:rPr>
          <w:color w:val="000000"/>
          <w:sz w:val="20"/>
          <w:szCs w:val="20"/>
        </w:rPr>
        <w:t>Follow multi-step oral instructions and written directions</w:t>
      </w:r>
    </w:p>
    <w:p w14:paraId="4E8DECBF" w14:textId="77777777" w:rsidR="001B5993" w:rsidRPr="001B5993" w:rsidRDefault="001B5993" w:rsidP="001B5993">
      <w:pPr>
        <w:numPr>
          <w:ilvl w:val="0"/>
          <w:numId w:val="1"/>
        </w:numPr>
        <w:spacing w:after="0" w:line="240" w:lineRule="auto"/>
        <w:rPr>
          <w:color w:val="000000"/>
          <w:sz w:val="20"/>
          <w:szCs w:val="20"/>
        </w:rPr>
      </w:pPr>
      <w:r w:rsidRPr="001B5993">
        <w:rPr>
          <w:color w:val="000000"/>
          <w:sz w:val="20"/>
          <w:szCs w:val="20"/>
        </w:rPr>
        <w:t>Compile, analyze and display data</w:t>
      </w:r>
    </w:p>
    <w:p w14:paraId="0000002A" w14:textId="35C03082" w:rsidR="001C1289" w:rsidRDefault="001B5993" w:rsidP="001B599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1B5993">
        <w:rPr>
          <w:color w:val="000000"/>
          <w:sz w:val="20"/>
          <w:szCs w:val="20"/>
        </w:rPr>
        <w:t>Write clear and concise reports</w:t>
      </w:r>
      <w:r w:rsidR="00000000">
        <w:rPr>
          <w:sz w:val="20"/>
          <w:szCs w:val="20"/>
        </w:rPr>
        <w:t>.</w:t>
      </w:r>
    </w:p>
    <w:p w14:paraId="0000002B" w14:textId="77777777" w:rsidR="001C1289" w:rsidRDefault="001C1289">
      <w:pPr>
        <w:rPr>
          <w:b/>
          <w:color w:val="000000"/>
          <w:sz w:val="20"/>
          <w:szCs w:val="20"/>
        </w:rPr>
      </w:pPr>
    </w:p>
    <w:p w14:paraId="0000002C" w14:textId="77777777" w:rsidR="001C1289" w:rsidRDefault="0000000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Experience and Other Certifications </w:t>
      </w:r>
    </w:p>
    <w:p w14:paraId="178B08F3" w14:textId="77777777" w:rsidR="003B7872" w:rsidRPr="003B7872" w:rsidRDefault="003B7872" w:rsidP="003B7872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Possession of a valid California Motor Vehicle Operator’s License. Out-of-State valid motor vehicle operator’s license will be accepted during the application process. </w:t>
      </w:r>
    </w:p>
    <w:p w14:paraId="71285F79" w14:textId="5C3363D4" w:rsidR="003B7872" w:rsidRPr="003B7872" w:rsidRDefault="003B7872" w:rsidP="003B7872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Possession of a </w:t>
      </w:r>
      <w:proofErr w:type="gramStart"/>
      <w:r>
        <w:rPr>
          <w:sz w:val="20"/>
          <w:szCs w:val="20"/>
        </w:rPr>
        <w:t>Bachelor’s Degree</w:t>
      </w:r>
      <w:proofErr w:type="gramEnd"/>
      <w:r>
        <w:rPr>
          <w:sz w:val="20"/>
          <w:szCs w:val="20"/>
        </w:rPr>
        <w:t xml:space="preserve"> from an accredited college or university in Public Health, Health Services Administration, Social Work, Health Education, Education, Sports Medicine, Kinesiology, Nutrition, or a closely related field.</w:t>
      </w:r>
    </w:p>
    <w:p w14:paraId="183BF5FF" w14:textId="77777777" w:rsidR="003B7872" w:rsidRPr="003B7872" w:rsidRDefault="003B7872" w:rsidP="003B7872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3B7872">
        <w:rPr>
          <w:sz w:val="20"/>
          <w:szCs w:val="20"/>
        </w:rPr>
        <w:t xml:space="preserve">Four (4) years of full-time, or its equivalent, experience equivalent and 60 semester units or 90 quarter units of college coursework with at least 12 semester and 18 quarter units in </w:t>
      </w:r>
      <w:proofErr w:type="gramStart"/>
      <w:r w:rsidRPr="003B7872">
        <w:rPr>
          <w:sz w:val="20"/>
          <w:szCs w:val="20"/>
        </w:rPr>
        <w:t>health related</w:t>
      </w:r>
      <w:proofErr w:type="gramEnd"/>
      <w:r w:rsidRPr="003B7872">
        <w:rPr>
          <w:sz w:val="20"/>
          <w:szCs w:val="20"/>
        </w:rPr>
        <w:t xml:space="preserve"> coursework may be substituted for the required Bachelor’s Degree. </w:t>
      </w:r>
    </w:p>
    <w:p w14:paraId="246E049C" w14:textId="18DFBF15" w:rsidR="003B7872" w:rsidRDefault="003B7872" w:rsidP="003B7872">
      <w:pPr>
        <w:pStyle w:val="ListParagraph"/>
        <w:widowControl w:val="0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One (1) year of full-time, or its equivalent, experience which included direct responsibility for performing health promotion, health prevention, or community health education work.</w:t>
      </w:r>
    </w:p>
    <w:p w14:paraId="5AB2373C" w14:textId="0BA74C79" w:rsidR="008910CB" w:rsidRDefault="008910CB" w:rsidP="008910CB">
      <w:pPr>
        <w:widowControl w:val="0"/>
        <w:spacing w:after="0" w:line="240" w:lineRule="auto"/>
        <w:rPr>
          <w:sz w:val="20"/>
          <w:szCs w:val="20"/>
        </w:rPr>
      </w:pPr>
    </w:p>
    <w:p w14:paraId="56DBFCC5" w14:textId="72009ED1" w:rsidR="008910CB" w:rsidRPr="008910CB" w:rsidRDefault="008910CB" w:rsidP="008910CB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Salary Range</w:t>
      </w:r>
      <w:r w:rsidRPr="008910CB">
        <w:rPr>
          <w:b/>
          <w:color w:val="000000"/>
          <w:sz w:val="20"/>
          <w:szCs w:val="20"/>
        </w:rPr>
        <w:t xml:space="preserve"> </w:t>
      </w:r>
    </w:p>
    <w:p w14:paraId="01F2FB17" w14:textId="77777777" w:rsidR="008910CB" w:rsidRPr="008910CB" w:rsidRDefault="008910CB" w:rsidP="008910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910CB">
        <w:rPr>
          <w:sz w:val="20"/>
          <w:szCs w:val="20"/>
        </w:rPr>
        <w:t>$25.83 - $31.39 Hourly</w:t>
      </w:r>
    </w:p>
    <w:p w14:paraId="619744A5" w14:textId="77777777" w:rsidR="008910CB" w:rsidRPr="008910CB" w:rsidRDefault="008910CB" w:rsidP="008910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910CB">
        <w:rPr>
          <w:sz w:val="20"/>
          <w:szCs w:val="20"/>
        </w:rPr>
        <w:t>$4,476.74 - $5,441.50 Monthly</w:t>
      </w:r>
    </w:p>
    <w:p w14:paraId="00000032" w14:textId="03315CFE" w:rsidR="001C1289" w:rsidRPr="008910CB" w:rsidRDefault="008910CB" w:rsidP="008910CB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910CB">
        <w:rPr>
          <w:sz w:val="20"/>
          <w:szCs w:val="20"/>
        </w:rPr>
        <w:t>$53,720.88 - $65,298.00 Annually</w:t>
      </w:r>
    </w:p>
    <w:p w14:paraId="00000034" w14:textId="55629136" w:rsidR="001C1289" w:rsidRDefault="001C1289" w:rsidP="008910CB">
      <w:pPr>
        <w:spacing w:after="0" w:line="240" w:lineRule="auto"/>
        <w:rPr>
          <w:sz w:val="20"/>
          <w:szCs w:val="20"/>
        </w:rPr>
      </w:pPr>
    </w:p>
    <w:p w14:paraId="00000035" w14:textId="77777777" w:rsidR="001C128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sectPr w:rsidR="001C12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6093"/>
    <w:multiLevelType w:val="hybridMultilevel"/>
    <w:tmpl w:val="50F6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9D3"/>
    <w:multiLevelType w:val="multilevel"/>
    <w:tmpl w:val="0E5C31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77872A9"/>
    <w:multiLevelType w:val="multilevel"/>
    <w:tmpl w:val="0CAEC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9765C98"/>
    <w:multiLevelType w:val="multilevel"/>
    <w:tmpl w:val="EE9A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D610D1"/>
    <w:multiLevelType w:val="multilevel"/>
    <w:tmpl w:val="C1DE0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110D28"/>
    <w:multiLevelType w:val="multilevel"/>
    <w:tmpl w:val="DF4C2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70945380">
    <w:abstractNumId w:val="3"/>
  </w:num>
  <w:num w:numId="2" w16cid:durableId="1222208632">
    <w:abstractNumId w:val="5"/>
  </w:num>
  <w:num w:numId="3" w16cid:durableId="91630578">
    <w:abstractNumId w:val="4"/>
  </w:num>
  <w:num w:numId="4" w16cid:durableId="1426801640">
    <w:abstractNumId w:val="1"/>
  </w:num>
  <w:num w:numId="5" w16cid:durableId="417141891">
    <w:abstractNumId w:val="2"/>
  </w:num>
  <w:num w:numId="6" w16cid:durableId="141439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289"/>
    <w:rsid w:val="001B5993"/>
    <w:rsid w:val="001C1289"/>
    <w:rsid w:val="002A76D2"/>
    <w:rsid w:val="003B7872"/>
    <w:rsid w:val="005512E2"/>
    <w:rsid w:val="008910CB"/>
    <w:rsid w:val="00DB302A"/>
    <w:rsid w:val="00E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2A399"/>
  <w15:docId w15:val="{9B591DFE-07AD-074F-80E5-A8D440DE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7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Moua, Mainhia</cp:lastModifiedBy>
  <cp:revision>4</cp:revision>
  <dcterms:created xsi:type="dcterms:W3CDTF">2022-07-21T17:27:00Z</dcterms:created>
  <dcterms:modified xsi:type="dcterms:W3CDTF">2022-07-21T17:48:00Z</dcterms:modified>
</cp:coreProperties>
</file>