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30482" w:rsidRDefault="00CB0800">
      <w:pPr>
        <w:spacing w:after="0" w:line="240" w:lineRule="auto"/>
        <w:jc w:val="center"/>
        <w:rPr>
          <w:b/>
          <w:sz w:val="24"/>
          <w:szCs w:val="24"/>
          <w:highlight w:val="yellow"/>
        </w:rPr>
      </w:pPr>
      <w:r>
        <w:rPr>
          <w:b/>
          <w:sz w:val="24"/>
          <w:szCs w:val="24"/>
          <w:highlight w:val="yellow"/>
        </w:rPr>
        <w:t>INSTRUCTIONS (remove before pasting letter to letterhead):</w:t>
      </w:r>
    </w:p>
    <w:p w14:paraId="00000002" w14:textId="36A084B1" w:rsidR="00B30482" w:rsidRDefault="00CB0800">
      <w:pPr>
        <w:spacing w:after="0" w:line="240" w:lineRule="auto"/>
        <w:jc w:val="center"/>
        <w:rPr>
          <w:sz w:val="24"/>
          <w:szCs w:val="24"/>
          <w:highlight w:val="yellow"/>
        </w:rPr>
      </w:pPr>
      <w:r>
        <w:rPr>
          <w:sz w:val="24"/>
          <w:szCs w:val="24"/>
          <w:highlight w:val="yellow"/>
        </w:rPr>
        <w:t xml:space="preserve">SUBMIT VIA THE ADVOCATES PORTAL AT </w:t>
      </w:r>
      <w:r w:rsidR="001520DE">
        <w:fldChar w:fldCharType="begin"/>
      </w:r>
      <w:r w:rsidR="00294293">
        <w:instrText xml:space="preserve">HYPERLINK "https://calegislation.lc.ca.gov/Advocates/" \h </w:instrText>
      </w:r>
      <w:r w:rsidR="001520DE">
        <w:fldChar w:fldCharType="separate"/>
      </w:r>
      <w:r w:rsidR="00294293">
        <w:rPr>
          <w:color w:val="1155CC"/>
          <w:sz w:val="24"/>
          <w:szCs w:val="24"/>
          <w:highlight w:val="yellow"/>
          <w:u w:val="single"/>
        </w:rPr>
        <w:t>https://calegislation.lc.ca.gov/Advocates/</w:t>
      </w:r>
      <w:r w:rsidR="001520DE">
        <w:rPr>
          <w:color w:val="1155CC"/>
          <w:sz w:val="24"/>
          <w:szCs w:val="24"/>
          <w:highlight w:val="yellow"/>
          <w:u w:val="single"/>
        </w:rPr>
        <w:fldChar w:fldCharType="end"/>
      </w:r>
      <w:bookmarkStart w:id="0" w:name="_GoBack"/>
      <w:bookmarkEnd w:id="0"/>
      <w:r>
        <w:rPr>
          <w:sz w:val="24"/>
          <w:szCs w:val="24"/>
          <w:highlight w:val="yellow"/>
        </w:rPr>
        <w:t xml:space="preserve"> </w:t>
      </w:r>
      <w:r w:rsidR="00EF45D3">
        <w:rPr>
          <w:sz w:val="24"/>
          <w:szCs w:val="24"/>
          <w:highlight w:val="yellow"/>
        </w:rPr>
        <w:t xml:space="preserve">BY 5 PM APRIL 16, 2024, </w:t>
      </w:r>
      <w:r>
        <w:rPr>
          <w:sz w:val="24"/>
          <w:szCs w:val="24"/>
          <w:highlight w:val="yellow"/>
        </w:rPr>
        <w:t xml:space="preserve">AND EMAIL A COPY TO </w:t>
      </w:r>
      <w:r w:rsidR="00B97BAD" w:rsidRPr="00B97BAD">
        <w:rPr>
          <w:sz w:val="24"/>
          <w:szCs w:val="24"/>
          <w:highlight w:val="yellow"/>
        </w:rPr>
        <w:t>mreynolds@schoolhealthcenters.org</w:t>
      </w:r>
      <w:r>
        <w:rPr>
          <w:sz w:val="24"/>
          <w:szCs w:val="24"/>
          <w:highlight w:val="yellow"/>
        </w:rPr>
        <w:t xml:space="preserve"> AND sarah.meza@asm.ca.gov</w:t>
      </w:r>
    </w:p>
    <w:p w14:paraId="00000003" w14:textId="77777777" w:rsidR="00B30482" w:rsidRDefault="00B30482">
      <w:pPr>
        <w:spacing w:after="0" w:line="240" w:lineRule="auto"/>
        <w:rPr>
          <w:sz w:val="24"/>
          <w:szCs w:val="24"/>
          <w:highlight w:val="yellow"/>
        </w:rPr>
      </w:pPr>
    </w:p>
    <w:p w14:paraId="0B61AE9A" w14:textId="77777777" w:rsidR="00004676" w:rsidRPr="0006580B" w:rsidRDefault="00004676" w:rsidP="00004676">
      <w:pPr>
        <w:spacing w:before="100" w:beforeAutospacing="1" w:after="100" w:afterAutospacing="1" w:line="240" w:lineRule="auto"/>
        <w:contextualSpacing/>
        <w:rPr>
          <w:rFonts w:eastAsia="Times New Roman"/>
          <w:color w:val="000000"/>
          <w:sz w:val="24"/>
          <w:szCs w:val="24"/>
        </w:rPr>
      </w:pPr>
      <w:r w:rsidRPr="0006580B">
        <w:rPr>
          <w:rFonts w:eastAsia="Times New Roman"/>
          <w:color w:val="000000"/>
          <w:sz w:val="24"/>
          <w:szCs w:val="24"/>
          <w:highlight w:val="yellow"/>
        </w:rPr>
        <w:t>[Date]</w:t>
      </w:r>
    </w:p>
    <w:p w14:paraId="3D73F09C" w14:textId="77777777" w:rsidR="00004676" w:rsidRPr="00646DC1" w:rsidRDefault="00004676" w:rsidP="00004676">
      <w:pPr>
        <w:spacing w:after="0" w:line="240" w:lineRule="auto"/>
        <w:contextualSpacing/>
        <w:rPr>
          <w:rFonts w:eastAsia="MS Mincho"/>
          <w:sz w:val="24"/>
          <w:szCs w:val="24"/>
        </w:rPr>
      </w:pPr>
    </w:p>
    <w:p w14:paraId="23E26006" w14:textId="77777777" w:rsidR="00004676" w:rsidRPr="00646DC1" w:rsidRDefault="00004676" w:rsidP="00004676">
      <w:pPr>
        <w:spacing w:after="0" w:line="240" w:lineRule="auto"/>
        <w:contextualSpacing/>
        <w:rPr>
          <w:rFonts w:eastAsia="MS Mincho"/>
          <w:sz w:val="24"/>
          <w:szCs w:val="24"/>
        </w:rPr>
      </w:pPr>
      <w:r>
        <w:rPr>
          <w:rFonts w:eastAsia="MS Mincho"/>
          <w:sz w:val="24"/>
          <w:szCs w:val="24"/>
        </w:rPr>
        <w:t xml:space="preserve">The Honorable Al </w:t>
      </w:r>
      <w:proofErr w:type="spellStart"/>
      <w:r>
        <w:rPr>
          <w:rFonts w:eastAsia="MS Mincho"/>
          <w:sz w:val="24"/>
          <w:szCs w:val="24"/>
        </w:rPr>
        <w:t>Muratsuchi</w:t>
      </w:r>
      <w:proofErr w:type="spellEnd"/>
    </w:p>
    <w:p w14:paraId="3E8A875E" w14:textId="77777777" w:rsidR="00004676" w:rsidRPr="00646DC1" w:rsidRDefault="00004676" w:rsidP="00004676">
      <w:pPr>
        <w:spacing w:after="0" w:line="240" w:lineRule="auto"/>
        <w:contextualSpacing/>
        <w:rPr>
          <w:rFonts w:eastAsia="MS Mincho"/>
          <w:sz w:val="24"/>
          <w:szCs w:val="24"/>
        </w:rPr>
      </w:pPr>
      <w:r w:rsidRPr="00646DC1">
        <w:rPr>
          <w:rFonts w:eastAsia="MS Mincho"/>
          <w:sz w:val="24"/>
          <w:szCs w:val="24"/>
        </w:rPr>
        <w:t xml:space="preserve">Chair, Assembly </w:t>
      </w:r>
      <w:r>
        <w:rPr>
          <w:rFonts w:eastAsia="MS Mincho"/>
          <w:sz w:val="24"/>
          <w:szCs w:val="24"/>
        </w:rPr>
        <w:t>Education</w:t>
      </w:r>
      <w:r w:rsidRPr="00646DC1">
        <w:rPr>
          <w:rFonts w:eastAsia="MS Mincho"/>
          <w:sz w:val="24"/>
          <w:szCs w:val="24"/>
        </w:rPr>
        <w:t xml:space="preserve"> Committee </w:t>
      </w:r>
    </w:p>
    <w:p w14:paraId="6377FC09" w14:textId="77777777" w:rsidR="00004676" w:rsidRPr="00646DC1" w:rsidRDefault="00004676" w:rsidP="00004676">
      <w:pPr>
        <w:spacing w:after="0" w:line="240" w:lineRule="auto"/>
        <w:contextualSpacing/>
        <w:rPr>
          <w:rFonts w:eastAsia="MS Mincho"/>
          <w:sz w:val="24"/>
          <w:szCs w:val="24"/>
        </w:rPr>
      </w:pPr>
      <w:r>
        <w:rPr>
          <w:rFonts w:eastAsia="MS Mincho"/>
          <w:sz w:val="24"/>
          <w:szCs w:val="24"/>
        </w:rPr>
        <w:t>1020 N Street, Rm. 159</w:t>
      </w:r>
    </w:p>
    <w:p w14:paraId="0D0CCBC6" w14:textId="77777777" w:rsidR="00004676" w:rsidRPr="00646DC1" w:rsidRDefault="00004676" w:rsidP="00004676">
      <w:pPr>
        <w:spacing w:after="0" w:line="240" w:lineRule="auto"/>
        <w:contextualSpacing/>
        <w:rPr>
          <w:rFonts w:eastAsia="MS Mincho"/>
          <w:sz w:val="24"/>
          <w:szCs w:val="24"/>
        </w:rPr>
      </w:pPr>
      <w:r w:rsidRPr="00646DC1">
        <w:rPr>
          <w:rFonts w:eastAsia="MS Mincho"/>
          <w:sz w:val="24"/>
          <w:szCs w:val="24"/>
        </w:rPr>
        <w:t>Sacramento, CA 95814</w:t>
      </w:r>
    </w:p>
    <w:p w14:paraId="3EF230FD" w14:textId="77777777" w:rsidR="00004676" w:rsidRPr="00646DC1" w:rsidRDefault="00004676" w:rsidP="00004676">
      <w:pPr>
        <w:spacing w:after="0" w:line="240" w:lineRule="auto"/>
        <w:contextualSpacing/>
        <w:rPr>
          <w:rFonts w:eastAsia="MS Mincho"/>
          <w:b/>
          <w:sz w:val="24"/>
          <w:szCs w:val="24"/>
        </w:rPr>
      </w:pPr>
    </w:p>
    <w:p w14:paraId="6C4E2D61" w14:textId="47F5F809" w:rsidR="00004676" w:rsidRPr="00646DC1" w:rsidRDefault="00004676" w:rsidP="00004676">
      <w:pPr>
        <w:spacing w:after="0" w:line="240" w:lineRule="auto"/>
        <w:contextualSpacing/>
        <w:rPr>
          <w:rFonts w:eastAsia="MS Mincho"/>
          <w:b/>
          <w:sz w:val="24"/>
          <w:szCs w:val="24"/>
        </w:rPr>
      </w:pPr>
      <w:r w:rsidRPr="00646DC1">
        <w:rPr>
          <w:rFonts w:eastAsia="MS Mincho"/>
          <w:b/>
          <w:sz w:val="24"/>
          <w:szCs w:val="24"/>
        </w:rPr>
        <w:t xml:space="preserve">Re: Support for AB 2052 (Jones-Sawyer) – </w:t>
      </w:r>
      <w:r w:rsidR="00EF45D3" w:rsidRPr="00EF45D3">
        <w:rPr>
          <w:rFonts w:eastAsia="MS Mincho"/>
          <w:b/>
          <w:sz w:val="24"/>
          <w:szCs w:val="24"/>
        </w:rPr>
        <w:t>School-Based Health and Education Partnership Program</w:t>
      </w:r>
    </w:p>
    <w:p w14:paraId="0E2FC96B" w14:textId="77777777" w:rsidR="00004676" w:rsidRPr="00646DC1" w:rsidRDefault="00004676" w:rsidP="00004676">
      <w:pPr>
        <w:spacing w:after="0" w:line="240" w:lineRule="auto"/>
        <w:contextualSpacing/>
        <w:rPr>
          <w:rFonts w:eastAsia="MS Mincho"/>
          <w:sz w:val="24"/>
          <w:szCs w:val="24"/>
        </w:rPr>
      </w:pPr>
    </w:p>
    <w:p w14:paraId="5A4EC5FE" w14:textId="77777777" w:rsidR="00004676" w:rsidRPr="00646DC1" w:rsidRDefault="00004676" w:rsidP="00004676">
      <w:pPr>
        <w:spacing w:after="0" w:line="240" w:lineRule="auto"/>
        <w:contextualSpacing/>
        <w:rPr>
          <w:rFonts w:eastAsia="MS Mincho"/>
          <w:sz w:val="24"/>
          <w:szCs w:val="24"/>
        </w:rPr>
      </w:pPr>
      <w:r w:rsidRPr="00646DC1">
        <w:rPr>
          <w:rFonts w:eastAsia="MS Mincho"/>
          <w:sz w:val="24"/>
          <w:szCs w:val="24"/>
        </w:rPr>
        <w:t xml:space="preserve">Dear </w:t>
      </w:r>
      <w:r>
        <w:rPr>
          <w:rFonts w:eastAsia="MS Mincho"/>
          <w:sz w:val="24"/>
          <w:szCs w:val="24"/>
        </w:rPr>
        <w:t xml:space="preserve">Chair </w:t>
      </w:r>
      <w:proofErr w:type="spellStart"/>
      <w:r>
        <w:rPr>
          <w:rFonts w:eastAsia="MS Mincho"/>
          <w:sz w:val="24"/>
          <w:szCs w:val="24"/>
        </w:rPr>
        <w:t>Muratsuchi</w:t>
      </w:r>
      <w:proofErr w:type="spellEnd"/>
      <w:r w:rsidRPr="00646DC1">
        <w:rPr>
          <w:rFonts w:eastAsia="MS Mincho"/>
          <w:sz w:val="24"/>
          <w:szCs w:val="24"/>
        </w:rPr>
        <w:t>,</w:t>
      </w:r>
    </w:p>
    <w:p w14:paraId="1B0E7CFD" w14:textId="77777777" w:rsidR="00004676" w:rsidRPr="00646DC1" w:rsidRDefault="00004676" w:rsidP="00004676">
      <w:pPr>
        <w:spacing w:after="0" w:line="240" w:lineRule="auto"/>
        <w:contextualSpacing/>
        <w:rPr>
          <w:sz w:val="24"/>
          <w:szCs w:val="24"/>
        </w:rPr>
      </w:pPr>
    </w:p>
    <w:p w14:paraId="15DDB5FA" w14:textId="77777777" w:rsidR="00004676" w:rsidRPr="00646DC1" w:rsidRDefault="00004676" w:rsidP="00004676">
      <w:pPr>
        <w:spacing w:after="0" w:line="240" w:lineRule="auto"/>
        <w:contextualSpacing/>
        <w:jc w:val="both"/>
        <w:rPr>
          <w:sz w:val="24"/>
          <w:szCs w:val="24"/>
          <w:lang w:val="en"/>
        </w:rPr>
      </w:pPr>
      <w:r w:rsidRPr="00646DC1">
        <w:rPr>
          <w:sz w:val="24"/>
          <w:szCs w:val="24"/>
        </w:rPr>
        <w:t xml:space="preserve">On behalf of </w:t>
      </w:r>
      <w:r w:rsidRPr="00646DC1">
        <w:rPr>
          <w:sz w:val="24"/>
          <w:szCs w:val="24"/>
          <w:highlight w:val="yellow"/>
        </w:rPr>
        <w:t>[organization’s name]</w:t>
      </w:r>
      <w:r w:rsidRPr="00646DC1">
        <w:rPr>
          <w:sz w:val="24"/>
          <w:szCs w:val="24"/>
        </w:rPr>
        <w:t xml:space="preserve">, I am writing in support of Assembly Bill 2052 (Jones-Sawyer) which will reinforce the </w:t>
      </w:r>
      <w:r>
        <w:rPr>
          <w:sz w:val="24"/>
          <w:szCs w:val="24"/>
        </w:rPr>
        <w:t xml:space="preserve">Public </w:t>
      </w:r>
      <w:r w:rsidRPr="00646DC1">
        <w:rPr>
          <w:sz w:val="24"/>
          <w:szCs w:val="24"/>
        </w:rPr>
        <w:t>School Health Center Support Program through collaboration between the California Department of Public Health (CDPH)</w:t>
      </w:r>
      <w:r>
        <w:rPr>
          <w:sz w:val="24"/>
          <w:szCs w:val="24"/>
        </w:rPr>
        <w:t xml:space="preserve"> and</w:t>
      </w:r>
      <w:r w:rsidRPr="00646DC1">
        <w:rPr>
          <w:sz w:val="24"/>
          <w:szCs w:val="24"/>
        </w:rPr>
        <w:t xml:space="preserve"> the Office of School-Based Health</w:t>
      </w:r>
      <w:r>
        <w:rPr>
          <w:sz w:val="24"/>
          <w:szCs w:val="24"/>
        </w:rPr>
        <w:t>, and through updated criteria for grant preference.</w:t>
      </w:r>
    </w:p>
    <w:p w14:paraId="759AF6E8" w14:textId="77777777" w:rsidR="00004676" w:rsidRPr="00646DC1" w:rsidRDefault="00004676" w:rsidP="00004676">
      <w:pPr>
        <w:spacing w:after="0" w:line="240" w:lineRule="auto"/>
        <w:contextualSpacing/>
        <w:jc w:val="both"/>
        <w:rPr>
          <w:sz w:val="24"/>
          <w:szCs w:val="24"/>
        </w:rPr>
      </w:pPr>
    </w:p>
    <w:p w14:paraId="54FF203C" w14:textId="77777777" w:rsidR="00004676" w:rsidRDefault="00004676" w:rsidP="00004676">
      <w:pPr>
        <w:spacing w:after="0" w:line="240" w:lineRule="auto"/>
        <w:jc w:val="both"/>
        <w:rPr>
          <w:rFonts w:eastAsiaTheme="minorHAnsi"/>
          <w:sz w:val="24"/>
          <w:szCs w:val="24"/>
        </w:rPr>
      </w:pPr>
      <w:r w:rsidRPr="00D52094">
        <w:rPr>
          <w:rFonts w:eastAsiaTheme="minorHAnsi"/>
          <w:sz w:val="24"/>
          <w:szCs w:val="24"/>
        </w:rPr>
        <w:t>The Public School-Based Health Center Support Program (Program) was established in 2009 and since then the number of SBHCs in California has grown to 377 centers spread across 37 counties. After 15 years of implementation and administration, the California School-Based Health Alliance has identified areas of improvement in the Program.</w:t>
      </w:r>
    </w:p>
    <w:p w14:paraId="5A8484AC" w14:textId="77777777" w:rsidR="00004676" w:rsidRPr="00646DC1" w:rsidRDefault="00004676" w:rsidP="00004676">
      <w:pPr>
        <w:spacing w:after="0" w:line="240" w:lineRule="auto"/>
        <w:jc w:val="both"/>
        <w:rPr>
          <w:rFonts w:eastAsiaTheme="minorHAnsi"/>
          <w:sz w:val="24"/>
          <w:szCs w:val="24"/>
        </w:rPr>
      </w:pPr>
    </w:p>
    <w:p w14:paraId="28E2A363" w14:textId="77777777" w:rsidR="00004676" w:rsidRDefault="00004676" w:rsidP="00004676">
      <w:pPr>
        <w:spacing w:after="0" w:line="240" w:lineRule="auto"/>
        <w:jc w:val="both"/>
        <w:rPr>
          <w:rFonts w:eastAsia="MS Mincho"/>
          <w:sz w:val="24"/>
          <w:szCs w:val="24"/>
        </w:rPr>
      </w:pPr>
      <w:r w:rsidRPr="00E83B93">
        <w:rPr>
          <w:rFonts w:eastAsia="MS Mincho"/>
          <w:sz w:val="24"/>
          <w:szCs w:val="24"/>
        </w:rPr>
        <w:t>SBHCs provide accessible and integrated physical and behavioral health care services to students and their families, regardless of their ability to pay for health services. A 2023 study found that students who had access to SBHCs were significantly more likely to have regular dental visits, a regular source of medical care, and health insurance. For some students, the only healthcare they receive is through a SBHC.</w:t>
      </w:r>
    </w:p>
    <w:p w14:paraId="19A2CBD5" w14:textId="77777777" w:rsidR="00004676" w:rsidRPr="00646DC1" w:rsidRDefault="00004676" w:rsidP="00004676">
      <w:pPr>
        <w:spacing w:after="0" w:line="240" w:lineRule="auto"/>
        <w:jc w:val="both"/>
        <w:rPr>
          <w:rFonts w:eastAsia="MS Mincho"/>
          <w:sz w:val="24"/>
          <w:szCs w:val="24"/>
        </w:rPr>
      </w:pPr>
    </w:p>
    <w:p w14:paraId="15726D11" w14:textId="77777777" w:rsidR="00004676" w:rsidRDefault="00004676" w:rsidP="00004676">
      <w:pPr>
        <w:spacing w:after="0" w:line="240" w:lineRule="auto"/>
        <w:jc w:val="both"/>
        <w:rPr>
          <w:sz w:val="24"/>
          <w:szCs w:val="24"/>
        </w:rPr>
      </w:pPr>
      <w:r w:rsidRPr="00E83B93">
        <w:rPr>
          <w:sz w:val="24"/>
          <w:szCs w:val="24"/>
        </w:rPr>
        <w:t>Additionally, SBHCs have been proven to improve attendance, academic achievement, and aid in school climate, which allows students to focus on their goals and thrive. This is seen in a Los Angeles study from 2021 which showed that attendance improved by an average of 5 days following “any type of visit to a school based health center.” This is possible because students who have access to SBHCs experience better health outcomes and as a result miss less school days due to illness. The increased attendance associated with SBHCs also translates more school funding which is invested back into the students.</w:t>
      </w:r>
    </w:p>
    <w:p w14:paraId="61CEF1FA" w14:textId="77777777" w:rsidR="00004676" w:rsidRDefault="00004676" w:rsidP="00004676">
      <w:pPr>
        <w:spacing w:after="0" w:line="240" w:lineRule="auto"/>
        <w:jc w:val="both"/>
        <w:rPr>
          <w:sz w:val="24"/>
          <w:szCs w:val="24"/>
        </w:rPr>
      </w:pPr>
    </w:p>
    <w:p w14:paraId="5B25E4A0" w14:textId="77777777" w:rsidR="00004676" w:rsidRPr="00E83B93" w:rsidRDefault="00004676" w:rsidP="00004676">
      <w:pPr>
        <w:spacing w:after="0" w:line="240" w:lineRule="auto"/>
        <w:jc w:val="both"/>
        <w:rPr>
          <w:sz w:val="24"/>
          <w:szCs w:val="24"/>
        </w:rPr>
      </w:pPr>
      <w:r w:rsidRPr="00E83B93">
        <w:rPr>
          <w:sz w:val="24"/>
          <w:szCs w:val="24"/>
          <w:highlight w:val="yellow"/>
        </w:rPr>
        <w:t>[Insert organization’s background and/or specific stories or cases to emphasize the need for this bill]</w:t>
      </w:r>
    </w:p>
    <w:p w14:paraId="57C0C20A" w14:textId="77777777" w:rsidR="00004676" w:rsidRPr="00646DC1" w:rsidRDefault="00004676" w:rsidP="00004676">
      <w:pPr>
        <w:spacing w:after="0" w:line="240" w:lineRule="auto"/>
        <w:jc w:val="both"/>
        <w:rPr>
          <w:sz w:val="24"/>
          <w:szCs w:val="24"/>
        </w:rPr>
      </w:pPr>
    </w:p>
    <w:p w14:paraId="18E0D366" w14:textId="77777777" w:rsidR="00004676" w:rsidRPr="00646DC1" w:rsidRDefault="00004676" w:rsidP="00004676">
      <w:pPr>
        <w:spacing w:before="120" w:after="0" w:line="240" w:lineRule="auto"/>
        <w:contextualSpacing/>
        <w:jc w:val="both"/>
        <w:rPr>
          <w:rFonts w:eastAsiaTheme="minorHAnsi"/>
          <w:sz w:val="24"/>
          <w:szCs w:val="24"/>
        </w:rPr>
      </w:pPr>
      <w:r w:rsidRPr="00E83B93">
        <w:rPr>
          <w:sz w:val="24"/>
          <w:szCs w:val="24"/>
        </w:rPr>
        <w:t xml:space="preserve">In order to ensure the Program is administered effectively and to schools with the greatest need, a few refining changes need to be made to existing law. First, this bill would improve </w:t>
      </w:r>
      <w:r w:rsidRPr="00E83B93">
        <w:rPr>
          <w:sz w:val="24"/>
          <w:szCs w:val="24"/>
        </w:rPr>
        <w:lastRenderedPageBreak/>
        <w:t>communication and collaboration by requiring the overseeing department, the Office of School-Based Health in CDE, to coordinate with the grant administrator, CDPH. Second, this bill would make changes to the criteria for grant recipient preference in order to align the program with existing definitions in the Education Code and prioritize SBHCs that increase access to care for California’s most underserved students and communities.</w:t>
      </w:r>
    </w:p>
    <w:p w14:paraId="1C028241" w14:textId="77777777" w:rsidR="00004676" w:rsidRDefault="00004676" w:rsidP="00004676">
      <w:pPr>
        <w:spacing w:before="120" w:after="0" w:line="240" w:lineRule="auto"/>
        <w:contextualSpacing/>
        <w:jc w:val="both"/>
        <w:rPr>
          <w:sz w:val="24"/>
          <w:szCs w:val="24"/>
        </w:rPr>
      </w:pPr>
    </w:p>
    <w:p w14:paraId="041ABAC3" w14:textId="2A2657C9" w:rsidR="00004676" w:rsidRPr="00646DC1" w:rsidRDefault="00004676" w:rsidP="00004676">
      <w:pPr>
        <w:spacing w:before="120" w:after="0" w:line="240" w:lineRule="auto"/>
        <w:contextualSpacing/>
        <w:jc w:val="both"/>
        <w:rPr>
          <w:sz w:val="24"/>
          <w:szCs w:val="24"/>
        </w:rPr>
      </w:pPr>
      <w:r w:rsidRPr="00646DC1">
        <w:rPr>
          <w:sz w:val="24"/>
          <w:szCs w:val="24"/>
        </w:rPr>
        <w:t xml:space="preserve">For reasons previously stated, </w:t>
      </w:r>
      <w:r w:rsidRPr="00646DC1">
        <w:rPr>
          <w:sz w:val="24"/>
          <w:szCs w:val="24"/>
          <w:highlight w:val="yellow"/>
        </w:rPr>
        <w:t>[Name of organization]</w:t>
      </w:r>
      <w:r w:rsidRPr="00646DC1">
        <w:rPr>
          <w:sz w:val="24"/>
          <w:szCs w:val="24"/>
        </w:rPr>
        <w:t xml:space="preserve"> is pleased to support AB 2052 (Jones-Sawyer). We thank you in advance for your support for this bill when it is heard in the Assembly </w:t>
      </w:r>
      <w:r>
        <w:rPr>
          <w:sz w:val="24"/>
          <w:szCs w:val="24"/>
        </w:rPr>
        <w:t>Education</w:t>
      </w:r>
      <w:r w:rsidRPr="00646DC1">
        <w:rPr>
          <w:sz w:val="24"/>
          <w:szCs w:val="24"/>
        </w:rPr>
        <w:t xml:space="preserve"> Committee.  </w:t>
      </w:r>
    </w:p>
    <w:p w14:paraId="107B81FE" w14:textId="77777777" w:rsidR="00004676" w:rsidRPr="00646DC1" w:rsidRDefault="00004676" w:rsidP="00004676">
      <w:pPr>
        <w:spacing w:before="120" w:after="0" w:line="240" w:lineRule="auto"/>
        <w:contextualSpacing/>
        <w:jc w:val="both"/>
        <w:rPr>
          <w:sz w:val="24"/>
          <w:szCs w:val="24"/>
        </w:rPr>
      </w:pPr>
    </w:p>
    <w:p w14:paraId="6D3694C2" w14:textId="77777777" w:rsidR="00004676" w:rsidRPr="00646DC1" w:rsidRDefault="00004676" w:rsidP="00004676">
      <w:pPr>
        <w:spacing w:after="0" w:line="240" w:lineRule="auto"/>
        <w:contextualSpacing/>
        <w:rPr>
          <w:rFonts w:eastAsia="MS Mincho"/>
          <w:sz w:val="24"/>
          <w:szCs w:val="24"/>
        </w:rPr>
      </w:pPr>
    </w:p>
    <w:p w14:paraId="61F5CC1D" w14:textId="77777777" w:rsidR="00004676" w:rsidRPr="00646DC1" w:rsidRDefault="00004676" w:rsidP="00004676">
      <w:pPr>
        <w:spacing w:after="0" w:line="240" w:lineRule="auto"/>
        <w:contextualSpacing/>
        <w:rPr>
          <w:rFonts w:eastAsia="MS Mincho"/>
          <w:sz w:val="24"/>
          <w:szCs w:val="24"/>
        </w:rPr>
      </w:pPr>
      <w:r w:rsidRPr="00646DC1">
        <w:rPr>
          <w:rFonts w:eastAsia="MS Mincho"/>
          <w:sz w:val="24"/>
          <w:szCs w:val="24"/>
        </w:rPr>
        <w:t>Sincerely,</w:t>
      </w:r>
    </w:p>
    <w:p w14:paraId="2DA45545" w14:textId="77777777" w:rsidR="00004676" w:rsidRPr="00646DC1" w:rsidRDefault="00004676" w:rsidP="00004676">
      <w:pPr>
        <w:spacing w:after="0" w:line="240" w:lineRule="auto"/>
        <w:contextualSpacing/>
        <w:rPr>
          <w:rFonts w:eastAsia="MS Mincho"/>
          <w:sz w:val="24"/>
          <w:szCs w:val="24"/>
        </w:rPr>
      </w:pPr>
    </w:p>
    <w:p w14:paraId="1467FEA7" w14:textId="77777777" w:rsidR="00004676" w:rsidRPr="00646DC1" w:rsidRDefault="00004676" w:rsidP="00004676">
      <w:pPr>
        <w:spacing w:after="0" w:line="240" w:lineRule="auto"/>
        <w:contextualSpacing/>
        <w:rPr>
          <w:rFonts w:eastAsia="Times New Roman"/>
          <w:color w:val="000000"/>
          <w:sz w:val="24"/>
          <w:szCs w:val="24"/>
          <w:highlight w:val="yellow"/>
        </w:rPr>
      </w:pPr>
      <w:r w:rsidRPr="00646DC1">
        <w:rPr>
          <w:rFonts w:eastAsia="Times New Roman"/>
          <w:color w:val="000000"/>
          <w:sz w:val="24"/>
          <w:szCs w:val="24"/>
          <w:highlight w:val="yellow"/>
        </w:rPr>
        <w:t>[Signature</w:t>
      </w:r>
    </w:p>
    <w:p w14:paraId="74A10430" w14:textId="77777777" w:rsidR="00004676" w:rsidRPr="00646DC1" w:rsidRDefault="00004676" w:rsidP="00004676">
      <w:pPr>
        <w:spacing w:after="0" w:line="240" w:lineRule="auto"/>
        <w:contextualSpacing/>
        <w:rPr>
          <w:rFonts w:eastAsia="Times New Roman"/>
          <w:color w:val="000000"/>
          <w:sz w:val="24"/>
          <w:szCs w:val="24"/>
          <w:highlight w:val="yellow"/>
        </w:rPr>
      </w:pPr>
      <w:r w:rsidRPr="00646DC1">
        <w:rPr>
          <w:rFonts w:eastAsia="Times New Roman"/>
          <w:color w:val="000000"/>
          <w:sz w:val="24"/>
          <w:szCs w:val="24"/>
          <w:highlight w:val="yellow"/>
        </w:rPr>
        <w:t>Name</w:t>
      </w:r>
    </w:p>
    <w:p w14:paraId="602A9621" w14:textId="77777777" w:rsidR="00004676" w:rsidRPr="00646DC1" w:rsidRDefault="00004676" w:rsidP="00004676">
      <w:pPr>
        <w:spacing w:after="0" w:line="240" w:lineRule="auto"/>
        <w:contextualSpacing/>
        <w:rPr>
          <w:rFonts w:eastAsia="Times New Roman"/>
          <w:color w:val="000000"/>
          <w:sz w:val="24"/>
          <w:szCs w:val="24"/>
          <w:highlight w:val="yellow"/>
        </w:rPr>
      </w:pPr>
      <w:r w:rsidRPr="00646DC1">
        <w:rPr>
          <w:rFonts w:eastAsia="Times New Roman"/>
          <w:color w:val="000000"/>
          <w:sz w:val="24"/>
          <w:szCs w:val="24"/>
          <w:highlight w:val="yellow"/>
        </w:rPr>
        <w:t>Address</w:t>
      </w:r>
    </w:p>
    <w:p w14:paraId="5CCE5105" w14:textId="77777777" w:rsidR="00004676" w:rsidRPr="00646DC1" w:rsidRDefault="00004676" w:rsidP="00004676">
      <w:pPr>
        <w:spacing w:after="0" w:line="240" w:lineRule="auto"/>
        <w:contextualSpacing/>
        <w:rPr>
          <w:rFonts w:eastAsia="Times New Roman"/>
          <w:color w:val="000000"/>
          <w:sz w:val="24"/>
          <w:szCs w:val="24"/>
        </w:rPr>
      </w:pPr>
      <w:r w:rsidRPr="00646DC1">
        <w:rPr>
          <w:rFonts w:eastAsia="Times New Roman"/>
          <w:color w:val="000000"/>
          <w:sz w:val="24"/>
          <w:szCs w:val="24"/>
          <w:highlight w:val="yellow"/>
        </w:rPr>
        <w:t>Contact Information]</w:t>
      </w:r>
    </w:p>
    <w:p w14:paraId="72070F45" w14:textId="77777777" w:rsidR="00004676" w:rsidRPr="00646DC1" w:rsidRDefault="00004676" w:rsidP="00004676">
      <w:pPr>
        <w:spacing w:after="0" w:line="240" w:lineRule="auto"/>
        <w:contextualSpacing/>
        <w:rPr>
          <w:rFonts w:eastAsia="Times New Roman"/>
          <w:color w:val="000000"/>
          <w:sz w:val="24"/>
          <w:szCs w:val="24"/>
        </w:rPr>
      </w:pPr>
    </w:p>
    <w:p w14:paraId="00000024" w14:textId="4E2CDCFB" w:rsidR="00B30482" w:rsidRPr="00004676" w:rsidRDefault="00004676" w:rsidP="00004676">
      <w:pPr>
        <w:spacing w:after="0" w:line="240" w:lineRule="auto"/>
        <w:contextualSpacing/>
        <w:rPr>
          <w:rFonts w:eastAsia="MS Mincho"/>
          <w:sz w:val="24"/>
          <w:szCs w:val="24"/>
        </w:rPr>
      </w:pPr>
      <w:r w:rsidRPr="00646DC1">
        <w:rPr>
          <w:rFonts w:eastAsia="MS Mincho"/>
          <w:sz w:val="24"/>
          <w:szCs w:val="24"/>
        </w:rPr>
        <w:t>cc:</w:t>
      </w:r>
      <w:r w:rsidRPr="00646DC1">
        <w:rPr>
          <w:rFonts w:eastAsia="MS Mincho"/>
          <w:sz w:val="24"/>
          <w:szCs w:val="24"/>
        </w:rPr>
        <w:tab/>
        <w:t>Assemblymember Reginald Byron Jones-Sawyer, Sr., Assembly District 57</w:t>
      </w:r>
    </w:p>
    <w:sectPr w:rsidR="00B30482" w:rsidRPr="0000467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D9ACC" w14:textId="77777777" w:rsidR="001520DE" w:rsidRDefault="001520DE">
      <w:pPr>
        <w:spacing w:after="0" w:line="240" w:lineRule="auto"/>
      </w:pPr>
      <w:r>
        <w:separator/>
      </w:r>
    </w:p>
  </w:endnote>
  <w:endnote w:type="continuationSeparator" w:id="0">
    <w:p w14:paraId="6C52FEBD" w14:textId="77777777" w:rsidR="001520DE" w:rsidRDefault="0015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8EEC6" w14:textId="77777777" w:rsidR="001520DE" w:rsidRDefault="001520DE">
      <w:pPr>
        <w:spacing w:after="0" w:line="240" w:lineRule="auto"/>
      </w:pPr>
      <w:r>
        <w:separator/>
      </w:r>
    </w:p>
  </w:footnote>
  <w:footnote w:type="continuationSeparator" w:id="0">
    <w:p w14:paraId="3246514E" w14:textId="77777777" w:rsidR="001520DE" w:rsidRDefault="00152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5" w14:textId="77777777" w:rsidR="00B30482" w:rsidRDefault="00CB0800">
    <w:pPr>
      <w:pBdr>
        <w:top w:val="nil"/>
        <w:left w:val="nil"/>
        <w:bottom w:val="nil"/>
        <w:right w:val="nil"/>
        <w:between w:val="nil"/>
      </w:pBdr>
      <w:tabs>
        <w:tab w:val="center" w:pos="4680"/>
        <w:tab w:val="right" w:pos="9360"/>
      </w:tabs>
      <w:spacing w:after="0" w:line="240" w:lineRule="auto"/>
      <w:jc w:val="center"/>
      <w:rPr>
        <w:rFonts w:eastAsia="Times New Roman"/>
        <w:color w:val="000000"/>
      </w:rPr>
    </w:pPr>
    <w:r>
      <w:rPr>
        <w:rFonts w:eastAsia="Times New Roman"/>
        <w:color w:val="000000"/>
      </w:rPr>
      <w:t>[LETTERHEAD]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82"/>
    <w:rsid w:val="00004676"/>
    <w:rsid w:val="001520DE"/>
    <w:rsid w:val="00294293"/>
    <w:rsid w:val="009F7AB7"/>
    <w:rsid w:val="00B30482"/>
    <w:rsid w:val="00B97BAD"/>
    <w:rsid w:val="00CB0800"/>
    <w:rsid w:val="00EF45D3"/>
    <w:rsid w:val="00FC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42B1"/>
  <w15:docId w15:val="{53C33554-8F98-4600-9B1E-94B028F4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81C"/>
    <w:rPr>
      <w:rFonts w:eastAsia="Calibr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NoSpacingChar">
    <w:name w:val="No Spacing Char"/>
    <w:basedOn w:val="DefaultParagraphFont"/>
    <w:link w:val="NoSpacing"/>
    <w:uiPriority w:val="1"/>
    <w:locked/>
    <w:rsid w:val="0057481C"/>
    <w:rPr>
      <w:rFonts w:ascii="PMingLiU" w:eastAsiaTheme="minorEastAsia" w:hAnsi="PMingLiU"/>
    </w:rPr>
  </w:style>
  <w:style w:type="paragraph" w:styleId="NoSpacing">
    <w:name w:val="No Spacing"/>
    <w:link w:val="NoSpacingChar"/>
    <w:uiPriority w:val="1"/>
    <w:qFormat/>
    <w:rsid w:val="0057481C"/>
    <w:pPr>
      <w:spacing w:after="0" w:line="240" w:lineRule="auto"/>
    </w:pPr>
    <w:rPr>
      <w:rFonts w:ascii="PMingLiU" w:eastAsiaTheme="minorEastAsia" w:hAnsi="PMingLiU"/>
    </w:rPr>
  </w:style>
  <w:style w:type="paragraph" w:styleId="Header">
    <w:name w:val="header"/>
    <w:basedOn w:val="Normal"/>
    <w:link w:val="HeaderChar"/>
    <w:uiPriority w:val="99"/>
    <w:unhideWhenUsed/>
    <w:rsid w:val="0078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DF1"/>
    <w:rPr>
      <w:rFonts w:ascii="Times New Roman" w:eastAsia="Calibri" w:hAnsi="Times New Roman" w:cs="Times New Roman"/>
      <w:sz w:val="20"/>
      <w:szCs w:val="20"/>
    </w:rPr>
  </w:style>
  <w:style w:type="paragraph" w:styleId="Footer">
    <w:name w:val="footer"/>
    <w:basedOn w:val="Normal"/>
    <w:link w:val="FooterChar"/>
    <w:uiPriority w:val="99"/>
    <w:unhideWhenUsed/>
    <w:rsid w:val="0078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DF1"/>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sid w:val="00D52094"/>
    <w:rPr>
      <w:sz w:val="16"/>
      <w:szCs w:val="16"/>
    </w:rPr>
  </w:style>
  <w:style w:type="paragraph" w:styleId="CommentText">
    <w:name w:val="annotation text"/>
    <w:basedOn w:val="Normal"/>
    <w:link w:val="CommentTextChar"/>
    <w:uiPriority w:val="99"/>
    <w:semiHidden/>
    <w:unhideWhenUsed/>
    <w:rsid w:val="00D52094"/>
    <w:pPr>
      <w:spacing w:line="240" w:lineRule="auto"/>
    </w:pPr>
  </w:style>
  <w:style w:type="character" w:customStyle="1" w:styleId="CommentTextChar">
    <w:name w:val="Comment Text Char"/>
    <w:basedOn w:val="DefaultParagraphFont"/>
    <w:link w:val="CommentText"/>
    <w:uiPriority w:val="99"/>
    <w:semiHidden/>
    <w:rsid w:val="00D5209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2094"/>
    <w:rPr>
      <w:b/>
      <w:bCs/>
    </w:rPr>
  </w:style>
  <w:style w:type="character" w:customStyle="1" w:styleId="CommentSubjectChar">
    <w:name w:val="Comment Subject Char"/>
    <w:basedOn w:val="CommentTextChar"/>
    <w:link w:val="CommentSubject"/>
    <w:uiPriority w:val="99"/>
    <w:semiHidden/>
    <w:rsid w:val="00D52094"/>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D52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094"/>
    <w:rPr>
      <w:rFonts w:ascii="Segoe UI" w:eastAsia="Calibr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QR4RFzim4CW0Rlgc5eSYYjvMyg==">CgMxLjAyCGguZ2pkZ3hzOAByITFqUDd6YjNtLWZxdVRWVHlSX1FHekVQcVZRN2VBck5MVA==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Meza, Sarah</dc:creator>
  <cp:lastModifiedBy>Marcel Reynolds</cp:lastModifiedBy>
  <cp:revision>5</cp:revision>
  <dcterms:created xsi:type="dcterms:W3CDTF">2024-04-04T00:26:00Z</dcterms:created>
  <dcterms:modified xsi:type="dcterms:W3CDTF">2024-04-16T23:20:00Z</dcterms:modified>
</cp:coreProperties>
</file>